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DENNIS KIPTOO RONO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Accountant | CPA-K | B.Com Finance – Kenyatta University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0745 678 901  |  dennis.rono@gmail.com  |  ID No: 31234567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Detail-oriented and CPA-K certified Accountant with 5 years of experience in financial reporting, reconciliations and tax compliance within manufacturing and financial services firms. Adept at using ERP systems to streamline month-end close processes. Seeking a Senior Accountant role in a dynamic organization.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 &amp; PROFESSIONAL QUALIFICATIONS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Certified Public Accountant (CPA-K)</w:t>
      </w:r>
      <w:r>
        <w:rPr>
          <w:b/>
          <w:bCs/>
          <w:color w:val="555555"/>
          <w:sz w:val="19"/>
          <w:szCs w:val="19"/>
        </w:rPr>
        <w:t xml:space="preserve">	2018 – 2020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Kenya Accountants and Secretaries National Examinations Board (KASNEB)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Commerce – Finance Option</w:t>
      </w:r>
      <w:r>
        <w:rPr>
          <w:b/>
          <w:bCs/>
          <w:color w:val="555555"/>
          <w:sz w:val="19"/>
          <w:szCs w:val="19"/>
        </w:rPr>
        <w:t xml:space="preserve">	2013 – 2017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Kenyatta University | Second Class Honours (Upper Division)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CORE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Financial Reporting (IFRS)   •   Bank &amp; Ledger Reconciliation   •   Tax Compliance (iTax)   •   QuickBooks &amp; Sage 300   •   Budgeting &amp; Forecasting   •   Accounts Payable/Receivable   •   Payroll Processing   •   Audit Support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Accountant</w:t>
      </w:r>
      <w:r>
        <w:rPr>
          <w:b/>
          <w:bCs/>
          <w:color w:val="555555"/>
          <w:sz w:val="19"/>
          <w:szCs w:val="19"/>
        </w:rPr>
        <w:t xml:space="preserve">	March 2021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Bamburi Cement PLC,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Prepare monthly management accounts and variance analysis for a business unit with KES 400M annual turnover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Reduced month-end close time from 10 to 6 working days by automating key reconciliation processes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 accounts payable for over 80 vendors, maintaining a 98% on-time payment rate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Support external audit process annually, resulting in zero material audit findings for 3 consecutive years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Junior Accountant</w:t>
      </w:r>
      <w:r>
        <w:rPr>
          <w:b/>
          <w:bCs/>
          <w:color w:val="555555"/>
          <w:sz w:val="19"/>
          <w:szCs w:val="19"/>
        </w:rPr>
        <w:t xml:space="preserve">	Aug 2018 – Feb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Britam Insurance,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Processed payroll for 150+ staff monthly with full statutory compliance (PAYE, NHIF, NSSF)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Performed daily bank reconciliations across 4 corporate accounts, identifying and resolving discrepancies promptly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Assisted in preparation of annual tax returns and iTax filings, ensuring zero late-filing penalties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CPA Susan Wambui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Finance Manager, Bamburi Cement PLC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0700 888 999  |  s.wambui@example.com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Mr. Kevin Njoroge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Finance Controller, Britam Insurance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0711 999 000  |  k.njoroge@example.com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2026-07-10T02:03:58.088Z</dcterms:created>
  <dcterms:modified xsi:type="dcterms:W3CDTF">2026-07-10T02:03:58.088Z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